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0" w:line="180" w:lineRule="auto"/>
        <w:ind w:firstLine="53"/>
        <w:rPr>
          <w:rFonts w:ascii="华文中宋" w:hAnsi="华文中宋" w:eastAsia="华文中宋" w:cs="华文中宋"/>
          <w:sz w:val="144"/>
          <w:szCs w:val="144"/>
        </w:rPr>
      </w:pPr>
      <w:r>
        <w:rPr>
          <w:rFonts w:ascii="华文中宋" w:hAnsi="华文中宋" w:eastAsia="华文中宋" w:cs="华文中宋"/>
          <w:color w:val="FF0000"/>
          <w:spacing w:val="-76"/>
          <w:w w:val="53"/>
          <w:sz w:val="144"/>
          <w:szCs w:val="144"/>
          <w14:textOutline w14:w="19613" w14:cap="sq" w14:cmpd="sng">
            <w14:solidFill>
              <w14:srgbClr w14:val="FF0000"/>
            </w14:solidFill>
            <w14:prstDash w14:val="solid"/>
            <w14:bevel/>
          </w14:textOutline>
        </w:rPr>
        <w:t>薛</w:t>
      </w:r>
      <w:r>
        <w:rPr>
          <w:rFonts w:ascii="华文中宋" w:hAnsi="华文中宋" w:eastAsia="华文中宋" w:cs="华文中宋"/>
          <w:color w:val="FF0000"/>
          <w:spacing w:val="-247"/>
          <w:sz w:val="144"/>
          <w:szCs w:val="144"/>
        </w:rPr>
        <w:t xml:space="preserve"> </w:t>
      </w:r>
      <w:r>
        <w:rPr>
          <w:rFonts w:ascii="华文中宋" w:hAnsi="华文中宋" w:eastAsia="华文中宋" w:cs="华文中宋"/>
          <w:color w:val="FF0000"/>
          <w:spacing w:val="-76"/>
          <w:w w:val="53"/>
          <w:sz w:val="144"/>
          <w:szCs w:val="144"/>
          <w14:textOutline w14:w="19613" w14:cap="sq" w14:cmpd="sng">
            <w14:solidFill>
              <w14:srgbClr w14:val="FF0000"/>
            </w14:solidFill>
            <w14:prstDash w14:val="solid"/>
            <w14:bevel/>
          </w14:textOutline>
        </w:rPr>
        <w:t>城</w:t>
      </w:r>
      <w:r>
        <w:rPr>
          <w:rFonts w:ascii="华文中宋" w:hAnsi="华文中宋" w:eastAsia="华文中宋" w:cs="华文中宋"/>
          <w:color w:val="FF0000"/>
          <w:spacing w:val="-205"/>
          <w:sz w:val="144"/>
          <w:szCs w:val="144"/>
        </w:rPr>
        <w:t xml:space="preserve"> </w:t>
      </w:r>
      <w:r>
        <w:rPr>
          <w:rFonts w:ascii="华文中宋" w:hAnsi="华文中宋" w:eastAsia="华文中宋" w:cs="华文中宋"/>
          <w:color w:val="FF0000"/>
          <w:spacing w:val="-76"/>
          <w:w w:val="53"/>
          <w:sz w:val="144"/>
          <w:szCs w:val="144"/>
          <w14:textOutline w14:w="19613" w14:cap="sq" w14:cmpd="sng">
            <w14:solidFill>
              <w14:srgbClr w14:val="FF0000"/>
            </w14:solidFill>
            <w14:prstDash w14:val="solid"/>
            <w14:bevel/>
          </w14:textOutline>
        </w:rPr>
        <w:t>区</w:t>
      </w:r>
      <w:r>
        <w:rPr>
          <w:rFonts w:ascii="华文中宋" w:hAnsi="华文中宋" w:eastAsia="华文中宋" w:cs="华文中宋"/>
          <w:color w:val="FF0000"/>
          <w:spacing w:val="-266"/>
          <w:sz w:val="144"/>
          <w:szCs w:val="144"/>
        </w:rPr>
        <w:t xml:space="preserve"> </w:t>
      </w:r>
      <w:r>
        <w:rPr>
          <w:rFonts w:ascii="华文中宋" w:hAnsi="华文中宋" w:eastAsia="华文中宋" w:cs="华文中宋"/>
          <w:color w:val="FF0000"/>
          <w:spacing w:val="-76"/>
          <w:w w:val="53"/>
          <w:sz w:val="144"/>
          <w:szCs w:val="144"/>
          <w14:textOutline w14:w="19613" w14:cap="sq" w14:cmpd="sng">
            <w14:solidFill>
              <w14:srgbClr w14:val="FF0000"/>
            </w14:solidFill>
            <w14:prstDash w14:val="solid"/>
            <w14:bevel/>
          </w14:textOutline>
        </w:rPr>
        <w:t>卫</w:t>
      </w:r>
      <w:r>
        <w:rPr>
          <w:rFonts w:ascii="华文中宋" w:hAnsi="华文中宋" w:eastAsia="华文中宋" w:cs="华文中宋"/>
          <w:color w:val="FF0000"/>
          <w:spacing w:val="-220"/>
          <w:sz w:val="144"/>
          <w:szCs w:val="144"/>
        </w:rPr>
        <w:t xml:space="preserve"> </w:t>
      </w:r>
      <w:r>
        <w:rPr>
          <w:rFonts w:ascii="华文中宋" w:hAnsi="华文中宋" w:eastAsia="华文中宋" w:cs="华文中宋"/>
          <w:color w:val="FF0000"/>
          <w:spacing w:val="-76"/>
          <w:w w:val="53"/>
          <w:sz w:val="144"/>
          <w:szCs w:val="144"/>
          <w14:textOutline w14:w="19613" w14:cap="sq" w14:cmpd="sng">
            <w14:solidFill>
              <w14:srgbClr w14:val="FF0000"/>
            </w14:solidFill>
            <w14:prstDash w14:val="solid"/>
            <w14:bevel/>
          </w14:textOutline>
        </w:rPr>
        <w:t>生</w:t>
      </w:r>
      <w:r>
        <w:rPr>
          <w:rFonts w:ascii="华文中宋" w:hAnsi="华文中宋" w:eastAsia="华文中宋" w:cs="华文中宋"/>
          <w:color w:val="FF0000"/>
          <w:spacing w:val="-283"/>
          <w:sz w:val="144"/>
          <w:szCs w:val="144"/>
        </w:rPr>
        <w:t xml:space="preserve"> </w:t>
      </w:r>
      <w:r>
        <w:rPr>
          <w:rFonts w:ascii="华文中宋" w:hAnsi="华文中宋" w:eastAsia="华文中宋" w:cs="华文中宋"/>
          <w:color w:val="FF0000"/>
          <w:spacing w:val="-76"/>
          <w:w w:val="53"/>
          <w:sz w:val="144"/>
          <w:szCs w:val="144"/>
          <w14:textOutline w14:w="19613" w14:cap="sq" w14:cmpd="sng">
            <w14:solidFill>
              <w14:srgbClr w14:val="FF0000"/>
            </w14:solidFill>
            <w14:prstDash w14:val="solid"/>
            <w14:bevel/>
          </w14:textOutline>
        </w:rPr>
        <w:t>健</w:t>
      </w:r>
      <w:r>
        <w:rPr>
          <w:rFonts w:ascii="华文中宋" w:hAnsi="华文中宋" w:eastAsia="华文中宋" w:cs="华文中宋"/>
          <w:color w:val="FF0000"/>
          <w:spacing w:val="-269"/>
          <w:sz w:val="144"/>
          <w:szCs w:val="144"/>
        </w:rPr>
        <w:t xml:space="preserve"> </w:t>
      </w:r>
      <w:r>
        <w:rPr>
          <w:rFonts w:ascii="华文中宋" w:hAnsi="华文中宋" w:eastAsia="华文中宋" w:cs="华文中宋"/>
          <w:color w:val="FF0000"/>
          <w:spacing w:val="-76"/>
          <w:w w:val="53"/>
          <w:sz w:val="144"/>
          <w:szCs w:val="144"/>
          <w14:textOutline w14:w="19613" w14:cap="sq" w14:cmpd="sng">
            <w14:solidFill>
              <w14:srgbClr w14:val="FF0000"/>
            </w14:solidFill>
            <w14:prstDash w14:val="solid"/>
            <w14:bevel/>
          </w14:textOutline>
        </w:rPr>
        <w:t>康</w:t>
      </w:r>
      <w:r>
        <w:rPr>
          <w:rFonts w:ascii="华文中宋" w:hAnsi="华文中宋" w:eastAsia="华文中宋" w:cs="华文中宋"/>
          <w:color w:val="FF0000"/>
          <w:spacing w:val="-244"/>
          <w:sz w:val="144"/>
          <w:szCs w:val="144"/>
        </w:rPr>
        <w:t xml:space="preserve"> </w:t>
      </w:r>
      <w:r>
        <w:rPr>
          <w:rFonts w:ascii="华文中宋" w:hAnsi="华文中宋" w:eastAsia="华文中宋" w:cs="华文中宋"/>
          <w:color w:val="FF0000"/>
          <w:spacing w:val="-76"/>
          <w:w w:val="53"/>
          <w:sz w:val="144"/>
          <w:szCs w:val="144"/>
          <w14:textOutline w14:w="19613" w14:cap="sq" w14:cmpd="sng">
            <w14:solidFill>
              <w14:srgbClr w14:val="FF0000"/>
            </w14:solidFill>
            <w14:prstDash w14:val="solid"/>
            <w14:bevel/>
          </w14:textOutline>
        </w:rPr>
        <w:t>局</w:t>
      </w:r>
      <w:r>
        <w:rPr>
          <w:rFonts w:ascii="华文中宋" w:hAnsi="华文中宋" w:eastAsia="华文中宋" w:cs="华文中宋"/>
          <w:color w:val="FF0000"/>
          <w:spacing w:val="-261"/>
          <w:sz w:val="144"/>
          <w:szCs w:val="144"/>
        </w:rPr>
        <w:t xml:space="preserve"> </w:t>
      </w:r>
      <w:r>
        <w:rPr>
          <w:rFonts w:ascii="华文中宋" w:hAnsi="华文中宋" w:eastAsia="华文中宋" w:cs="华文中宋"/>
          <w:color w:val="FF0000"/>
          <w:spacing w:val="-76"/>
          <w:w w:val="53"/>
          <w:sz w:val="144"/>
          <w:szCs w:val="144"/>
          <w14:textOutline w14:w="19613" w14:cap="sq" w14:cmpd="sng">
            <w14:solidFill>
              <w14:srgbClr w14:val="FF0000"/>
            </w14:solidFill>
            <w14:prstDash w14:val="solid"/>
            <w14:bevel/>
          </w14:textOutline>
        </w:rPr>
        <w:t>文</w:t>
      </w:r>
      <w:r>
        <w:rPr>
          <w:rFonts w:ascii="华文中宋" w:hAnsi="华文中宋" w:eastAsia="华文中宋" w:cs="华文中宋"/>
          <w:color w:val="FF0000"/>
          <w:spacing w:val="-275"/>
          <w:sz w:val="144"/>
          <w:szCs w:val="144"/>
        </w:rPr>
        <w:t xml:space="preserve"> </w:t>
      </w:r>
      <w:r>
        <w:rPr>
          <w:rFonts w:ascii="华文中宋" w:hAnsi="华文中宋" w:eastAsia="华文中宋" w:cs="华文中宋"/>
          <w:color w:val="FF0000"/>
          <w:spacing w:val="-76"/>
          <w:w w:val="53"/>
          <w:sz w:val="144"/>
          <w:szCs w:val="144"/>
          <w14:textOutline w14:w="19613" w14:cap="sq" w14:cmpd="sng">
            <w14:solidFill>
              <w14:srgbClr w14:val="FF0000"/>
            </w14:solidFill>
            <w14:prstDash w14:val="solid"/>
            <w14:bevel/>
          </w14:textOutline>
        </w:rPr>
        <w:t>件</w:t>
      </w: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before="105" w:line="185" w:lineRule="auto"/>
        <w:ind w:firstLine="279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薛卫健字</w:t>
      </w:r>
      <w:r>
        <w:rPr>
          <w:rFonts w:ascii="宋体" w:hAnsi="宋体" w:eastAsia="宋体" w:cs="宋体"/>
          <w:spacing w:val="-3"/>
          <w:sz w:val="32"/>
          <w:szCs w:val="32"/>
        </w:rPr>
        <w:t>〔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2021</w:t>
      </w:r>
      <w:r>
        <w:rPr>
          <w:rFonts w:ascii="宋体" w:hAnsi="宋体" w:eastAsia="宋体" w:cs="宋体"/>
          <w:spacing w:val="-3"/>
          <w:sz w:val="32"/>
          <w:szCs w:val="32"/>
        </w:rPr>
        <w:t>〕15</w:t>
      </w:r>
      <w:r>
        <w:rPr>
          <w:rFonts w:ascii="宋体" w:hAnsi="宋体" w:eastAsia="宋体" w:cs="宋体"/>
          <w:spacing w:val="-5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</w:rPr>
        <w:t>号</w:t>
      </w:r>
    </w:p>
    <w:p>
      <w:pPr>
        <w:spacing w:before="115" w:line="31" w:lineRule="exact"/>
        <w:textAlignment w:val="center"/>
      </w:pPr>
      <w:r>
        <w:drawing>
          <wp:inline distT="0" distB="0" distL="0" distR="0">
            <wp:extent cx="5286375" cy="196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3" w:lineRule="auto"/>
        <w:rPr>
          <w:rFonts w:ascii="宋体"/>
          <w:sz w:val="21"/>
        </w:rPr>
      </w:pPr>
    </w:p>
    <w:p>
      <w:pPr>
        <w:spacing w:before="163" w:line="180" w:lineRule="auto"/>
        <w:ind w:firstLine="1049"/>
        <w:rPr>
          <w:rFonts w:ascii="华文中宋" w:hAnsi="华文中宋" w:eastAsia="华文中宋" w:cs="华文中宋"/>
          <w:sz w:val="44"/>
          <w:szCs w:val="44"/>
        </w:rPr>
      </w:pP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2021</w:t>
      </w:r>
      <w:r>
        <w:rPr>
          <w:rFonts w:ascii="Times New Roman" w:hAnsi="Times New Roman" w:eastAsia="Times New Roman" w:cs="Times New Roman"/>
          <w:spacing w:val="25"/>
          <w:sz w:val="44"/>
          <w:szCs w:val="44"/>
        </w:rPr>
        <w:t xml:space="preserve"> </w:t>
      </w:r>
      <w:r>
        <w:rPr>
          <w:rFonts w:ascii="华文中宋" w:hAnsi="华文中宋" w:eastAsia="华文中宋" w:cs="华文中宋"/>
          <w:spacing w:val="-2"/>
          <w:sz w:val="44"/>
          <w:szCs w:val="44"/>
        </w:rPr>
        <w:t>年薛城区结核病防治工作方案</w:t>
      </w:r>
    </w:p>
    <w:p>
      <w:pPr>
        <w:spacing w:line="255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before="104" w:line="278" w:lineRule="auto"/>
        <w:ind w:left="56" w:right="110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为有效遏制结核病的发生及流行，进一步加强全区结核病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防治工作，顺利完成全年结核病防治工作任务，结合我区工作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实际，制定本年度工作方案：</w:t>
      </w:r>
    </w:p>
    <w:p>
      <w:pPr>
        <w:spacing w:before="232" w:line="187" w:lineRule="auto"/>
        <w:ind w:firstLine="68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一、全年工作目标</w:t>
      </w:r>
    </w:p>
    <w:p>
      <w:pPr>
        <w:spacing w:before="236" w:line="188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（一）积极提高病人发现率；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完成发现指标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140</w:t>
      </w:r>
      <w:r>
        <w:rPr>
          <w:rFonts w:ascii="Times New Roman" w:hAnsi="Times New Roman" w:eastAsia="Times New Roman" w:cs="Times New Roman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例。</w:t>
      </w:r>
    </w:p>
    <w:p>
      <w:pPr>
        <w:spacing w:before="189" w:line="241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（二）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肺结核治疗成功率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90%</w:t>
      </w:r>
      <w:r>
        <w:rPr>
          <w:rFonts w:ascii="仿宋" w:hAnsi="仿宋" w:eastAsia="仿宋" w:cs="仿宋"/>
          <w:spacing w:val="-13"/>
          <w:sz w:val="32"/>
          <w:szCs w:val="32"/>
        </w:rPr>
        <w:t>以上；</w:t>
      </w:r>
    </w:p>
    <w:p>
      <w:pPr>
        <w:spacing w:before="142" w:line="241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（三）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报告肺结核和疑似肺结核总体到位率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95%</w:t>
      </w:r>
      <w:r>
        <w:rPr>
          <w:rFonts w:ascii="仿宋" w:hAnsi="仿宋" w:eastAsia="仿宋" w:cs="仿宋"/>
          <w:spacing w:val="-9"/>
          <w:sz w:val="32"/>
          <w:szCs w:val="32"/>
        </w:rPr>
        <w:t>以上；</w:t>
      </w:r>
    </w:p>
    <w:p>
      <w:pPr>
        <w:spacing w:before="141" w:line="241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（四）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涂阳病人密切接触者筛查率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95%</w:t>
      </w:r>
      <w:r>
        <w:rPr>
          <w:rFonts w:ascii="仿宋" w:hAnsi="仿宋" w:eastAsia="仿宋" w:cs="仿宋"/>
          <w:spacing w:val="-10"/>
          <w:sz w:val="32"/>
          <w:szCs w:val="32"/>
        </w:rPr>
        <w:t>以上；</w:t>
      </w:r>
    </w:p>
    <w:p>
      <w:pPr>
        <w:spacing w:before="144" w:line="241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（五）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耐多药病人高危人群筛查率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95%</w:t>
      </w:r>
      <w:r>
        <w:rPr>
          <w:rFonts w:ascii="仿宋" w:hAnsi="仿宋" w:eastAsia="仿宋" w:cs="仿宋"/>
          <w:spacing w:val="-10"/>
          <w:sz w:val="32"/>
          <w:szCs w:val="32"/>
        </w:rPr>
        <w:t>以上；</w:t>
      </w:r>
    </w:p>
    <w:p>
      <w:pPr>
        <w:spacing w:before="187" w:line="187" w:lineRule="auto"/>
        <w:ind w:firstLine="68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二、工作措施及要求</w:t>
      </w:r>
    </w:p>
    <w:p>
      <w:pPr>
        <w:spacing w:before="236" w:line="188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（</w:t>
      </w:r>
      <w:r>
        <w:rPr>
          <w:rFonts w:ascii="楷体" w:hAnsi="楷体" w:eastAsia="楷体" w:cs="楷体"/>
          <w:spacing w:val="-7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8"/>
          <w:sz w:val="32"/>
          <w:szCs w:val="32"/>
        </w:rPr>
        <w:t>一）加强组织领导，分解工作任务。</w:t>
      </w:r>
      <w:r>
        <w:rPr>
          <w:rFonts w:ascii="仿宋" w:hAnsi="仿宋" w:eastAsia="仿宋" w:cs="仿宋"/>
          <w:spacing w:val="-8"/>
          <w:sz w:val="32"/>
          <w:szCs w:val="32"/>
        </w:rPr>
        <w:t>继续完善政府主导、</w:t>
      </w:r>
    </w:p>
    <w:p>
      <w:pPr>
        <w:spacing w:before="233" w:line="323" w:lineRule="auto"/>
        <w:ind w:left="50" w:right="110" w:firstLine="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多部门合作和全社会参与的结核病预防和控制可持续发展有效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机制，定期召开防治工作会议，分解工作任务，评价结核病工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作进展，针对薄弱环节，采取有效的整改措施提升结防工作质</w:t>
      </w:r>
    </w:p>
    <w:p>
      <w:pPr>
        <w:sectPr>
          <w:pgSz w:w="11906" w:h="16839"/>
          <w:pgMar w:top="1431" w:right="1478" w:bottom="0" w:left="1557" w:header="0" w:footer="0" w:gutter="0"/>
          <w:cols w:space="720" w:num="1"/>
        </w:sectPr>
      </w:pPr>
    </w:p>
    <w:p>
      <w:pPr>
        <w:spacing w:line="258" w:lineRule="auto"/>
        <w:rPr>
          <w:rFonts w:ascii="宋体"/>
          <w:sz w:val="21"/>
        </w:rPr>
      </w:pPr>
    </w:p>
    <w:p>
      <w:pPr>
        <w:spacing w:before="104" w:line="192" w:lineRule="exact"/>
        <w:ind w:firstLine="351"/>
        <w:rPr>
          <w:rFonts w:ascii="仿宋" w:hAnsi="仿宋" w:eastAsia="仿宋" w:cs="仿宋"/>
          <w:sz w:val="32"/>
          <w:szCs w:val="32"/>
        </w:rPr>
      </w:pPr>
      <w:r>
        <w:pict>
          <v:shape id="_x0000_s1026" o:spid="_x0000_s1026" o:spt="202" type="#_x0000_t202" style="position:absolute;left:0pt;margin-left:-0.3pt;margin-top:-6.4pt;height:18.7pt;width:16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2" w:lineRule="auto"/>
                    <w:ind w:firstLine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28"/>
                      <w:sz w:val="32"/>
                      <w:szCs w:val="32"/>
                    </w:rPr>
                    <w:t>量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54" w:line="305" w:lineRule="auto"/>
        <w:ind w:firstLine="627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</w:t>
      </w:r>
      <w:r>
        <w:rPr>
          <w:rFonts w:ascii="楷体" w:hAnsi="楷体" w:eastAsia="楷体" w:cs="楷体"/>
          <w:spacing w:val="-67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二）采取有效措施，提高病人发现率。</w:t>
      </w:r>
      <w:r>
        <w:rPr>
          <w:rFonts w:ascii="仿宋" w:hAnsi="仿宋" w:eastAsia="仿宋" w:cs="仿宋"/>
          <w:sz w:val="32"/>
          <w:szCs w:val="32"/>
        </w:rPr>
        <w:t xml:space="preserve">加强疾控机构和 </w:t>
      </w:r>
      <w:r>
        <w:rPr>
          <w:rFonts w:ascii="仿宋" w:hAnsi="仿宋" w:eastAsia="仿宋" w:cs="仿宋"/>
          <w:spacing w:val="2"/>
          <w:sz w:val="32"/>
          <w:szCs w:val="32"/>
        </w:rPr>
        <w:t>医疗机构的合作，做好转诊和追踪工作。各医疗单位要认真做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好疫情报告和转诊工作，转诊率到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100%</w:t>
      </w:r>
      <w:r>
        <w:rPr>
          <w:rFonts w:ascii="仿宋" w:hAnsi="仿宋" w:eastAsia="仿宋" w:cs="仿宋"/>
          <w:spacing w:val="-6"/>
          <w:sz w:val="32"/>
          <w:szCs w:val="32"/>
        </w:rPr>
        <w:t>；加强对医疗机构人员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的培训，确保非结防机构报告肺结核或疑似病例总体到位率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95%</w:t>
      </w:r>
      <w:r>
        <w:rPr>
          <w:rFonts w:ascii="仿宋" w:hAnsi="仿宋" w:eastAsia="仿宋" w:cs="仿宋"/>
          <w:spacing w:val="-3"/>
          <w:sz w:val="32"/>
          <w:szCs w:val="32"/>
        </w:rPr>
        <w:t>以上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;</w:t>
      </w:r>
      <w:r>
        <w:rPr>
          <w:rFonts w:ascii="仿宋" w:hAnsi="仿宋" w:eastAsia="仿宋" w:cs="仿宋"/>
          <w:spacing w:val="-3"/>
          <w:sz w:val="32"/>
          <w:szCs w:val="32"/>
        </w:rPr>
        <w:t>开展密切接触者和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HIV</w:t>
      </w:r>
      <w:r>
        <w:rPr>
          <w:rFonts w:ascii="Times New Roman" w:hAnsi="Times New Roman" w:eastAsia="Times New Roman" w:cs="Times New Roman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感染者的结核病筛查工作。对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涂阳肺结核病人的密切接触者筛查率达到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95%</w:t>
      </w:r>
      <w:r>
        <w:rPr>
          <w:rFonts w:ascii="仿宋" w:hAnsi="仿宋" w:eastAsia="仿宋" w:cs="仿宋"/>
          <w:spacing w:val="-2"/>
          <w:sz w:val="32"/>
          <w:szCs w:val="32"/>
        </w:rPr>
        <w:t>以上。</w:t>
      </w:r>
    </w:p>
    <w:p>
      <w:pPr>
        <w:spacing w:before="188" w:line="322" w:lineRule="auto"/>
        <w:ind w:left="7" w:firstLine="62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</w:t>
      </w:r>
      <w:r>
        <w:rPr>
          <w:rFonts w:ascii="楷体" w:hAnsi="楷体" w:eastAsia="楷体" w:cs="楷体"/>
          <w:spacing w:val="-67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三）规范治疗管理，提高治疗成功率。</w:t>
      </w:r>
      <w:r>
        <w:rPr>
          <w:rFonts w:ascii="仿宋" w:hAnsi="仿宋" w:eastAsia="仿宋" w:cs="仿宋"/>
          <w:sz w:val="32"/>
          <w:szCs w:val="32"/>
        </w:rPr>
        <w:t xml:space="preserve">进一步落实病人 </w:t>
      </w:r>
      <w:r>
        <w:rPr>
          <w:rFonts w:ascii="仿宋" w:hAnsi="仿宋" w:eastAsia="仿宋" w:cs="仿宋"/>
          <w:spacing w:val="2"/>
          <w:sz w:val="32"/>
          <w:szCs w:val="32"/>
        </w:rPr>
        <w:t>规范治疗和全程督导管理，严格执行国家治疗方案，免费提供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一线抗结核药品；</w:t>
      </w:r>
      <w:r>
        <w:rPr>
          <w:rFonts w:ascii="仿宋" w:hAnsi="仿宋" w:eastAsia="仿宋" w:cs="仿宋"/>
          <w:spacing w:val="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按《肺结核病人健康管理服务规范》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要求治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疗、随访和督导病人，确保治疗成功率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90%</w:t>
      </w:r>
      <w:r>
        <w:rPr>
          <w:rFonts w:ascii="仿宋" w:hAnsi="仿宋" w:eastAsia="仿宋" w:cs="仿宋"/>
          <w:spacing w:val="-2"/>
          <w:sz w:val="32"/>
          <w:szCs w:val="32"/>
        </w:rPr>
        <w:t>以上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;</w:t>
      </w:r>
      <w:r>
        <w:rPr>
          <w:rFonts w:ascii="仿宋" w:hAnsi="仿宋" w:eastAsia="仿宋" w:cs="仿宋"/>
          <w:spacing w:val="-2"/>
          <w:sz w:val="32"/>
          <w:szCs w:val="32"/>
        </w:rPr>
        <w:t>为提高基层医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务人员的工作积极性，保证转诊和治疗工作质量，对按要求开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展转诊和完成病人督导管理工作的人员，按项目规定由各镇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（街）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卫生院（社区卫生服务中心）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支付报病、督导管理补助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经费。</w:t>
      </w:r>
    </w:p>
    <w:p>
      <w:pPr>
        <w:spacing w:before="15" w:line="322" w:lineRule="auto"/>
        <w:ind w:left="7" w:right="2" w:firstLine="62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（</w:t>
      </w:r>
      <w:r>
        <w:rPr>
          <w:rFonts w:ascii="楷体" w:hAnsi="楷体" w:eastAsia="楷体" w:cs="楷体"/>
          <w:spacing w:val="-7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</w:rPr>
        <w:t>四）加强督导随访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,</w:t>
      </w:r>
      <w:r>
        <w:rPr>
          <w:rFonts w:ascii="楷体" w:hAnsi="楷体" w:eastAsia="楷体" w:cs="楷体"/>
          <w:spacing w:val="-3"/>
          <w:sz w:val="32"/>
          <w:szCs w:val="32"/>
        </w:rPr>
        <w:t>开展好耐多药防治。</w:t>
      </w:r>
      <w:r>
        <w:rPr>
          <w:rFonts w:ascii="仿宋" w:hAnsi="仿宋" w:eastAsia="仿宋" w:cs="仿宋"/>
          <w:spacing w:val="-3"/>
          <w:sz w:val="32"/>
          <w:szCs w:val="32"/>
        </w:rPr>
        <w:t>推进定点医疗机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构、基层医疗卫生机构、疾病预防控制机构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三位一体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”</w:t>
      </w:r>
      <w:r>
        <w:rPr>
          <w:rFonts w:ascii="仿宋" w:hAnsi="仿宋" w:eastAsia="仿宋" w:cs="仿宋"/>
          <w:spacing w:val="3"/>
          <w:sz w:val="32"/>
          <w:szCs w:val="32"/>
        </w:rPr>
        <w:t>结核病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防治模式，完成结核病人的服药管理和督导随访工作任务。按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照市结防中心耐多药结核病防治要求，积极开展痰培养工作，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筛查率达到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95%</w:t>
      </w:r>
      <w:r>
        <w:rPr>
          <w:rFonts w:ascii="仿宋" w:hAnsi="仿宋" w:eastAsia="仿宋" w:cs="仿宋"/>
          <w:spacing w:val="-2"/>
          <w:sz w:val="32"/>
          <w:szCs w:val="32"/>
        </w:rPr>
        <w:t>以上，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向市级积极推送耐多药可疑病人，并及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时运送痰标本。积极推进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山东省肺结核患者智能管理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”</w:t>
      </w:r>
      <w:r>
        <w:rPr>
          <w:rFonts w:ascii="仿宋" w:hAnsi="仿宋" w:eastAsia="仿宋" w:cs="仿宋"/>
          <w:spacing w:val="3"/>
          <w:sz w:val="32"/>
          <w:szCs w:val="32"/>
        </w:rPr>
        <w:t>项目工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作，逐步提高病人督导随访管理水平和患者服药治疗依从性，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进一步提高病人的治疗成功率。</w:t>
      </w:r>
    </w:p>
    <w:p>
      <w:pPr>
        <w:spacing w:before="11" w:line="195" w:lineRule="auto"/>
        <w:ind w:firstLine="308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（</w:t>
      </w:r>
      <w:r>
        <w:rPr>
          <w:rFonts w:ascii="楷体" w:hAnsi="楷体" w:eastAsia="楷体" w:cs="楷体"/>
          <w:spacing w:val="-7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五）</w:t>
      </w:r>
      <w:r>
        <w:rPr>
          <w:rFonts w:ascii="楷体" w:hAnsi="楷体" w:eastAsia="楷体" w:cs="楷体"/>
          <w:spacing w:val="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加强部门配合，做好学校防控。</w:t>
      </w:r>
      <w:r>
        <w:rPr>
          <w:rFonts w:ascii="仿宋" w:hAnsi="仿宋" w:eastAsia="仿宋" w:cs="仿宋"/>
          <w:spacing w:val="-6"/>
          <w:sz w:val="32"/>
          <w:szCs w:val="32"/>
        </w:rPr>
        <w:t>加强与教体部门协助</w:t>
      </w:r>
    </w:p>
    <w:p>
      <w:pPr>
        <w:sectPr>
          <w:pgSz w:w="11906" w:h="16839"/>
          <w:pgMar w:top="1431" w:right="1586" w:bottom="0" w:left="1599" w:header="0" w:footer="0" w:gutter="0"/>
          <w:cols w:space="720" w:num="1"/>
        </w:sectPr>
      </w:pPr>
    </w:p>
    <w:p>
      <w:pPr>
        <w:spacing w:before="182" w:line="323" w:lineRule="auto"/>
        <w:ind w:right="2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配合，明确职责分工，建立联防制度，结合学校肺结核疫情防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控要求，针对学校特点，加强学校结核病师资培训，开展健康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教育，防范学校结核病的暴发与流行。</w:t>
      </w:r>
    </w:p>
    <w:p>
      <w:pPr>
        <w:spacing w:before="4" w:line="306" w:lineRule="auto"/>
        <w:ind w:left="2" w:firstLine="298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（</w:t>
      </w:r>
      <w:r>
        <w:rPr>
          <w:rFonts w:ascii="楷体" w:hAnsi="楷体" w:eastAsia="楷体" w:cs="楷体"/>
          <w:spacing w:val="-7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</w:rPr>
        <w:t>六）开展业务培训，加强健康教育。</w:t>
      </w:r>
      <w:r>
        <w:rPr>
          <w:rFonts w:ascii="楷体" w:hAnsi="楷体" w:eastAsia="楷体" w:cs="楷体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以《肺结核病人健康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管理服务规范》、《学校结核病防控工作规范（</w:t>
      </w:r>
      <w:r>
        <w:rPr>
          <w:rFonts w:ascii="Times New Roman" w:hAnsi="Times New Roman" w:eastAsia="Times New Roman" w:cs="Times New Roman"/>
          <w:spacing w:val="-27"/>
          <w:sz w:val="32"/>
          <w:szCs w:val="32"/>
        </w:rPr>
        <w:t>2017</w:t>
      </w:r>
      <w:r>
        <w:rPr>
          <w:rFonts w:ascii="Times New Roman" w:hAnsi="Times New Roman" w:eastAsia="Times New Roman" w:cs="Times New Roman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版）》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为主要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内容，计划举办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期培训班，对各级医疗卫生单位的相关医务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人员和全区各级学校从事结核病防治工作的师资人员进行业务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培训进一步提高结防工作人员的业务水平。围绕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“3.24”</w:t>
      </w:r>
      <w:r>
        <w:rPr>
          <w:rFonts w:ascii="仿宋" w:hAnsi="仿宋" w:eastAsia="仿宋" w:cs="仿宋"/>
          <w:spacing w:val="6"/>
          <w:sz w:val="32"/>
          <w:szCs w:val="32"/>
        </w:rPr>
        <w:t>宣传主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题，精心组织宣传活动，增强宣传教育效果，逐步提高广大群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众结核病防治知识知晓率，继续开展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“</w:t>
      </w:r>
      <w:r>
        <w:rPr>
          <w:rFonts w:ascii="仿宋" w:hAnsi="仿宋" w:eastAsia="仿宋" w:cs="仿宋"/>
          <w:spacing w:val="-3"/>
          <w:sz w:val="32"/>
          <w:szCs w:val="32"/>
        </w:rPr>
        <w:t>百千万志愿者结核病防治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知识传播行动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”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>
      <w:pPr>
        <w:spacing w:before="232" w:line="187" w:lineRule="auto"/>
        <w:ind w:firstLine="6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三、加强督导和考核</w:t>
      </w:r>
    </w:p>
    <w:p>
      <w:pPr>
        <w:spacing w:before="235" w:line="323" w:lineRule="auto"/>
        <w:ind w:left="3" w:right="2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根据山东省教育厅、山东省卫生和计划生育委员会《关于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进一步加强和规范学校结核病防控工作的通知》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的要求，对全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区各医疗单位结核病防治工作实行季度督导，进行半年和年终</w:t>
      </w:r>
    </w:p>
    <w:p>
      <w:pPr>
        <w:spacing w:line="323" w:lineRule="auto"/>
        <w:ind w:left="14" w:right="2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两次考核，考核结果进行分值量化，记入当年基本公共卫生项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目考核成绩；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联合区教体部门，加强对各类医疗机构和全区各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学校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27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年两次肺结核防治工作督导检查。</w:t>
      </w:r>
    </w:p>
    <w:p>
      <w:pPr>
        <w:spacing w:line="342" w:lineRule="auto"/>
        <w:rPr>
          <w:rFonts w:ascii="宋体"/>
          <w:sz w:val="21"/>
        </w:rPr>
      </w:pPr>
    </w:p>
    <w:p>
      <w:pPr>
        <w:spacing w:before="105" w:line="241" w:lineRule="auto"/>
        <w:ind w:firstLine="4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w w:val="99"/>
          <w:sz w:val="32"/>
          <w:szCs w:val="32"/>
        </w:rPr>
        <w:t>附件：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年薛城区各镇（街）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社</w:t>
      </w:r>
      <w:bookmarkStart w:id="0" w:name="_GoBack"/>
      <w:bookmarkEnd w:id="0"/>
      <w:r>
        <w:rPr>
          <w:rFonts w:ascii="仿宋" w:hAnsi="仿宋" w:eastAsia="仿宋" w:cs="仿宋"/>
          <w:spacing w:val="-8"/>
          <w:w w:val="99"/>
          <w:sz w:val="32"/>
          <w:szCs w:val="32"/>
        </w:rPr>
        <w:t>区结核病人发现及可疑</w:t>
      </w:r>
    </w:p>
    <w:p>
      <w:pPr>
        <w:spacing w:line="105" w:lineRule="exact"/>
      </w:pPr>
    </w:p>
    <w:p>
      <w:pPr>
        <w:sectPr>
          <w:pgSz w:w="11906" w:h="16839"/>
          <w:pgMar w:top="1431" w:right="1586" w:bottom="0" w:left="1606" w:header="0" w:footer="0" w:gutter="0"/>
          <w:cols w:equalWidth="0" w:num="1">
            <w:col w:w="8714"/>
          </w:cols>
        </w:sectPr>
      </w:pPr>
    </w:p>
    <w:p>
      <w:pPr>
        <w:spacing w:before="148" w:line="188" w:lineRule="auto"/>
        <w:ind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症状转诊指标</w:t>
      </w:r>
    </w:p>
    <w:p/>
    <w:p/>
    <w:p/>
    <w:p/>
    <w:p/>
    <w:p/>
    <w:p/>
    <w:p>
      <w:pPr>
        <w:spacing w:line="229" w:lineRule="exact"/>
      </w:pP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83" w:lineRule="auto"/>
        <w:rPr>
          <w:rFonts w:ascii="宋体"/>
          <w:sz w:val="21"/>
        </w:rPr>
      </w:pPr>
    </w:p>
    <w:p>
      <w:pPr>
        <w:spacing w:line="283" w:lineRule="auto"/>
        <w:rPr>
          <w:rFonts w:ascii="宋体"/>
          <w:sz w:val="21"/>
        </w:rPr>
      </w:pPr>
    </w:p>
    <w:p>
      <w:pPr>
        <w:spacing w:line="284" w:lineRule="auto"/>
        <w:rPr>
          <w:rFonts w:ascii="宋体"/>
          <w:sz w:val="21"/>
        </w:rPr>
      </w:pPr>
    </w:p>
    <w:p>
      <w:pPr>
        <w:spacing w:line="284" w:lineRule="auto"/>
        <w:rPr>
          <w:rFonts w:ascii="宋体"/>
          <w:sz w:val="21"/>
        </w:rPr>
      </w:pPr>
    </w:p>
    <w:p>
      <w:pPr>
        <w:spacing w:before="105" w:line="188" w:lineRule="auto"/>
        <w:ind w:firstLine="17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薛城区卫生健康局</w:t>
      </w:r>
    </w:p>
    <w:p>
      <w:pPr>
        <w:spacing w:before="298" w:line="188" w:lineRule="auto"/>
        <w:ind w:firstLine="1717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22</w:t>
      </w:r>
      <w:r>
        <w:rPr>
          <w:rFonts w:ascii="Times New Roman" w:hAnsi="Times New Roman" w:eastAsia="Times New Roman" w:cs="Times New Roman"/>
          <w:spacing w:val="4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日</w:t>
      </w:r>
    </w:p>
    <w:p>
      <w:pPr>
        <w:sectPr>
          <w:type w:val="continuous"/>
          <w:pgSz w:w="11906" w:h="16839"/>
          <w:pgMar w:top="1431" w:right="1586" w:bottom="0" w:left="1606" w:header="0" w:footer="0" w:gutter="0"/>
          <w:cols w:equalWidth="0" w:num="2">
            <w:col w:w="3611" w:space="100"/>
            <w:col w:w="5004"/>
          </w:cols>
        </w:sectPr>
      </w:pPr>
    </w:p>
    <w:p>
      <w:pPr>
        <w:spacing w:line="348" w:lineRule="auto"/>
        <w:rPr>
          <w:rFonts w:ascii="宋体"/>
          <w:sz w:val="21"/>
        </w:rPr>
      </w:pPr>
    </w:p>
    <w:p>
      <w:pPr>
        <w:spacing w:line="348" w:lineRule="auto"/>
        <w:rPr>
          <w:rFonts w:ascii="宋体"/>
          <w:sz w:val="21"/>
        </w:rPr>
      </w:pPr>
    </w:p>
    <w:p>
      <w:pPr>
        <w:spacing w:before="104" w:line="241" w:lineRule="auto"/>
        <w:ind w:firstLine="2078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2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年薛城区各镇（街）</w:t>
      </w:r>
      <w:r>
        <w:rPr>
          <w:rFonts w:ascii="黑体" w:hAnsi="黑体" w:eastAsia="黑体" w:cs="黑体"/>
          <w:spacing w:val="-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/</w:t>
      </w:r>
      <w:r>
        <w:rPr>
          <w:rFonts w:ascii="黑体" w:hAnsi="黑体" w:eastAsia="黑体" w:cs="黑体"/>
          <w:spacing w:val="-6"/>
          <w:sz w:val="32"/>
          <w:szCs w:val="32"/>
        </w:rPr>
        <w:t>社区结核病人发现及可疑症状转诊指标</w:t>
      </w:r>
    </w:p>
    <w:p/>
    <w:p>
      <w:pPr>
        <w:spacing w:line="105" w:lineRule="exact"/>
      </w:pPr>
    </w:p>
    <w:tbl>
      <w:tblPr>
        <w:tblStyle w:val="4"/>
        <w:tblW w:w="133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3542"/>
        <w:gridCol w:w="3542"/>
        <w:gridCol w:w="2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545" w:type="dxa"/>
            <w:vAlign w:val="top"/>
          </w:tcPr>
          <w:p>
            <w:pPr>
              <w:spacing w:before="338" w:line="241" w:lineRule="auto"/>
              <w:ind w:firstLine="9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w w:val="96"/>
                <w:sz w:val="21"/>
                <w:szCs w:val="21"/>
              </w:rPr>
              <w:t>镇（街）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6"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pacing w:val="-5"/>
                <w:w w:val="96"/>
                <w:sz w:val="21"/>
                <w:szCs w:val="21"/>
              </w:rPr>
              <w:t>社区名称</w:t>
            </w:r>
          </w:p>
        </w:tc>
        <w:tc>
          <w:tcPr>
            <w:tcW w:w="3542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188" w:lineRule="auto"/>
              <w:ind w:firstLine="136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病人发现</w:t>
            </w:r>
          </w:p>
        </w:tc>
        <w:tc>
          <w:tcPr>
            <w:tcW w:w="3542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188" w:lineRule="auto"/>
              <w:ind w:firstLine="11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可疑症状转诊</w:t>
            </w:r>
          </w:p>
        </w:tc>
        <w:tc>
          <w:tcPr>
            <w:tcW w:w="2758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188" w:lineRule="auto"/>
              <w:ind w:firstLine="11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备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5" w:type="dxa"/>
            <w:vAlign w:val="top"/>
          </w:tcPr>
          <w:p>
            <w:pPr>
              <w:spacing w:before="124" w:line="188" w:lineRule="auto"/>
              <w:ind w:firstLine="137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陶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庄</w:t>
            </w:r>
          </w:p>
        </w:tc>
        <w:tc>
          <w:tcPr>
            <w:tcW w:w="3542" w:type="dxa"/>
            <w:vAlign w:val="top"/>
          </w:tcPr>
          <w:p>
            <w:pPr>
              <w:spacing w:before="160" w:line="180" w:lineRule="auto"/>
              <w:ind w:firstLine="16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20</w:t>
            </w:r>
          </w:p>
        </w:tc>
        <w:tc>
          <w:tcPr>
            <w:tcW w:w="3542" w:type="dxa"/>
            <w:vAlign w:val="top"/>
          </w:tcPr>
          <w:p>
            <w:pPr>
              <w:spacing w:before="160" w:line="180" w:lineRule="auto"/>
              <w:ind w:firstLine="16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120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5" w:type="dxa"/>
            <w:vAlign w:val="top"/>
          </w:tcPr>
          <w:p>
            <w:pPr>
              <w:spacing w:before="125" w:line="188" w:lineRule="auto"/>
              <w:ind w:firstLine="136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邹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坞</w:t>
            </w:r>
          </w:p>
        </w:tc>
        <w:tc>
          <w:tcPr>
            <w:tcW w:w="3542" w:type="dxa"/>
            <w:vAlign w:val="top"/>
          </w:tcPr>
          <w:p>
            <w:pPr>
              <w:spacing w:before="161" w:line="180" w:lineRule="auto"/>
              <w:ind w:firstLine="16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20</w:t>
            </w:r>
          </w:p>
        </w:tc>
        <w:tc>
          <w:tcPr>
            <w:tcW w:w="3542" w:type="dxa"/>
            <w:vAlign w:val="top"/>
          </w:tcPr>
          <w:p>
            <w:pPr>
              <w:spacing w:before="161" w:line="180" w:lineRule="auto"/>
              <w:ind w:firstLine="16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120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545" w:type="dxa"/>
            <w:vAlign w:val="top"/>
          </w:tcPr>
          <w:p>
            <w:pPr>
              <w:spacing w:before="125" w:line="188" w:lineRule="auto"/>
              <w:ind w:firstLine="136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张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范</w:t>
            </w:r>
          </w:p>
        </w:tc>
        <w:tc>
          <w:tcPr>
            <w:tcW w:w="3542" w:type="dxa"/>
            <w:vAlign w:val="top"/>
          </w:tcPr>
          <w:p>
            <w:pPr>
              <w:spacing w:before="161" w:line="180" w:lineRule="auto"/>
              <w:ind w:firstLine="16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20</w:t>
            </w:r>
          </w:p>
        </w:tc>
        <w:tc>
          <w:tcPr>
            <w:tcW w:w="3542" w:type="dxa"/>
            <w:vAlign w:val="top"/>
          </w:tcPr>
          <w:p>
            <w:pPr>
              <w:spacing w:before="161" w:line="180" w:lineRule="auto"/>
              <w:ind w:firstLine="16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120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5" w:type="dxa"/>
            <w:vAlign w:val="top"/>
          </w:tcPr>
          <w:p>
            <w:pPr>
              <w:spacing w:before="125" w:line="188" w:lineRule="auto"/>
              <w:ind w:firstLine="136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周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营</w:t>
            </w:r>
          </w:p>
        </w:tc>
        <w:tc>
          <w:tcPr>
            <w:tcW w:w="3542" w:type="dxa"/>
            <w:vAlign w:val="top"/>
          </w:tcPr>
          <w:p>
            <w:pPr>
              <w:spacing w:before="161" w:line="180" w:lineRule="auto"/>
              <w:ind w:firstLine="16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20</w:t>
            </w:r>
          </w:p>
        </w:tc>
        <w:tc>
          <w:tcPr>
            <w:tcW w:w="3542" w:type="dxa"/>
            <w:vAlign w:val="top"/>
          </w:tcPr>
          <w:p>
            <w:pPr>
              <w:spacing w:before="161" w:line="180" w:lineRule="auto"/>
              <w:ind w:firstLine="16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120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545" w:type="dxa"/>
            <w:vAlign w:val="top"/>
          </w:tcPr>
          <w:p>
            <w:pPr>
              <w:spacing w:before="128" w:line="188" w:lineRule="auto"/>
              <w:ind w:firstLine="136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沙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沟</w:t>
            </w:r>
          </w:p>
        </w:tc>
        <w:tc>
          <w:tcPr>
            <w:tcW w:w="3542" w:type="dxa"/>
            <w:vAlign w:val="top"/>
          </w:tcPr>
          <w:p>
            <w:pPr>
              <w:spacing w:before="164" w:line="180" w:lineRule="auto"/>
              <w:ind w:firstLine="16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20</w:t>
            </w:r>
          </w:p>
        </w:tc>
        <w:tc>
          <w:tcPr>
            <w:tcW w:w="3542" w:type="dxa"/>
            <w:vAlign w:val="top"/>
          </w:tcPr>
          <w:p>
            <w:pPr>
              <w:spacing w:before="164" w:line="180" w:lineRule="auto"/>
              <w:ind w:firstLine="16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120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5" w:type="dxa"/>
            <w:vAlign w:val="top"/>
          </w:tcPr>
          <w:p>
            <w:pPr>
              <w:spacing w:before="128" w:line="188" w:lineRule="auto"/>
              <w:ind w:firstLine="137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常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庄</w:t>
            </w:r>
          </w:p>
        </w:tc>
        <w:tc>
          <w:tcPr>
            <w:tcW w:w="3542" w:type="dxa"/>
            <w:vAlign w:val="top"/>
          </w:tcPr>
          <w:p>
            <w:pPr>
              <w:spacing w:before="164" w:line="180" w:lineRule="auto"/>
              <w:ind w:firstLine="16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20</w:t>
            </w:r>
          </w:p>
        </w:tc>
        <w:tc>
          <w:tcPr>
            <w:tcW w:w="3542" w:type="dxa"/>
            <w:vAlign w:val="top"/>
          </w:tcPr>
          <w:p>
            <w:pPr>
              <w:spacing w:before="164" w:line="180" w:lineRule="auto"/>
              <w:ind w:firstLine="16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120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545" w:type="dxa"/>
            <w:vAlign w:val="top"/>
          </w:tcPr>
          <w:p>
            <w:pPr>
              <w:spacing w:before="128" w:line="188" w:lineRule="auto"/>
              <w:ind w:firstLine="13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临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城</w:t>
            </w:r>
          </w:p>
        </w:tc>
        <w:tc>
          <w:tcPr>
            <w:tcW w:w="3542" w:type="dxa"/>
            <w:vAlign w:val="top"/>
          </w:tcPr>
          <w:p>
            <w:pPr>
              <w:spacing w:before="164" w:line="180" w:lineRule="auto"/>
              <w:ind w:firstLine="16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20</w:t>
            </w:r>
          </w:p>
        </w:tc>
        <w:tc>
          <w:tcPr>
            <w:tcW w:w="3542" w:type="dxa"/>
            <w:vAlign w:val="top"/>
          </w:tcPr>
          <w:p>
            <w:pPr>
              <w:spacing w:before="164" w:line="180" w:lineRule="auto"/>
              <w:ind w:firstLine="16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120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545" w:type="dxa"/>
            <w:vAlign w:val="top"/>
          </w:tcPr>
          <w:p>
            <w:pPr>
              <w:spacing w:before="128" w:line="188" w:lineRule="auto"/>
              <w:ind w:firstLine="136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兴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仁</w:t>
            </w:r>
          </w:p>
        </w:tc>
        <w:tc>
          <w:tcPr>
            <w:tcW w:w="3542" w:type="dxa"/>
            <w:vAlign w:val="top"/>
          </w:tcPr>
          <w:p>
            <w:pPr>
              <w:spacing w:before="164" w:line="180" w:lineRule="auto"/>
              <w:ind w:firstLine="16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15</w:t>
            </w:r>
          </w:p>
        </w:tc>
        <w:tc>
          <w:tcPr>
            <w:tcW w:w="3542" w:type="dxa"/>
            <w:vAlign w:val="top"/>
          </w:tcPr>
          <w:p>
            <w:pPr>
              <w:spacing w:before="164" w:line="180" w:lineRule="auto"/>
              <w:ind w:firstLine="16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120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545" w:type="dxa"/>
            <w:vAlign w:val="top"/>
          </w:tcPr>
          <w:p>
            <w:pPr>
              <w:spacing w:before="127" w:line="188" w:lineRule="auto"/>
              <w:ind w:firstLine="136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兴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城</w:t>
            </w:r>
          </w:p>
        </w:tc>
        <w:tc>
          <w:tcPr>
            <w:tcW w:w="3542" w:type="dxa"/>
            <w:vAlign w:val="top"/>
          </w:tcPr>
          <w:p>
            <w:pPr>
              <w:spacing w:before="163" w:line="180" w:lineRule="auto"/>
              <w:ind w:firstLine="16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15</w:t>
            </w:r>
          </w:p>
        </w:tc>
        <w:tc>
          <w:tcPr>
            <w:tcW w:w="3542" w:type="dxa"/>
            <w:vAlign w:val="top"/>
          </w:tcPr>
          <w:p>
            <w:pPr>
              <w:spacing w:before="163" w:line="180" w:lineRule="auto"/>
              <w:ind w:firstLine="16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120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545" w:type="dxa"/>
            <w:vAlign w:val="top"/>
          </w:tcPr>
          <w:p>
            <w:pPr>
              <w:spacing w:before="127" w:line="188" w:lineRule="auto"/>
              <w:ind w:firstLine="147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计</w:t>
            </w:r>
          </w:p>
        </w:tc>
        <w:tc>
          <w:tcPr>
            <w:tcW w:w="3542" w:type="dxa"/>
            <w:vAlign w:val="top"/>
          </w:tcPr>
          <w:p>
            <w:pPr>
              <w:spacing w:before="163" w:line="180" w:lineRule="auto"/>
              <w:ind w:firstLine="16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170</w:t>
            </w:r>
          </w:p>
        </w:tc>
        <w:tc>
          <w:tcPr>
            <w:tcW w:w="3542" w:type="dxa"/>
            <w:vAlign w:val="top"/>
          </w:tcPr>
          <w:p>
            <w:pPr>
              <w:spacing w:before="163" w:line="180" w:lineRule="auto"/>
              <w:ind w:firstLine="15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1080</w:t>
            </w:r>
          </w:p>
        </w:tc>
        <w:tc>
          <w:tcPr>
            <w:tcW w:w="27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7087" w:type="dxa"/>
            <w:gridSpan w:val="2"/>
            <w:vAlign w:val="top"/>
          </w:tcPr>
          <w:p>
            <w:pPr>
              <w:spacing w:line="401" w:lineRule="auto"/>
              <w:rPr>
                <w:rFonts w:ascii="宋体"/>
                <w:sz w:val="21"/>
              </w:rPr>
            </w:pPr>
          </w:p>
          <w:p>
            <w:pPr>
              <w:spacing w:before="69" w:line="188" w:lineRule="auto"/>
              <w:ind w:firstLine="1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区人民医院、区中医院、辖区内其他医疗机构</w:t>
            </w:r>
          </w:p>
        </w:tc>
        <w:tc>
          <w:tcPr>
            <w:tcW w:w="6300" w:type="dxa"/>
            <w:gridSpan w:val="2"/>
            <w:vAlign w:val="top"/>
          </w:tcPr>
          <w:p>
            <w:pPr>
              <w:spacing w:before="57" w:line="231" w:lineRule="auto"/>
              <w:ind w:left="483" w:right="104" w:hanging="3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严格执行肺</w:t>
            </w:r>
            <w:r>
              <w:rPr>
                <w:rFonts w:ascii="仿宋" w:hAnsi="仿宋" w:eastAsia="仿宋" w:cs="仿宋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TB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病人归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口管理规定，及时报告转诊可疑肺</w:t>
            </w:r>
            <w:r>
              <w:rPr>
                <w:rFonts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TB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人，禁止收治肺</w:t>
            </w:r>
            <w:r>
              <w:rPr>
                <w:rFonts w:ascii="仿宋" w:hAnsi="仿宋" w:eastAsia="仿宋" w:cs="仿宋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TB</w:t>
            </w:r>
            <w:r>
              <w:rPr>
                <w:rFonts w:ascii="Times New Roman" w:hAnsi="Times New Roman" w:eastAsia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病人；</w:t>
            </w:r>
          </w:p>
          <w:p>
            <w:pPr>
              <w:spacing w:before="67" w:line="241" w:lineRule="auto"/>
              <w:ind w:firstLine="1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可疑肺结核病人报告和转诊率均为</w:t>
            </w:r>
            <w:r>
              <w:rPr>
                <w:rFonts w:ascii="仿宋" w:hAnsi="仿宋" w:eastAsia="仿宋" w:cs="仿宋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100%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；</w:t>
            </w:r>
          </w:p>
          <w:p>
            <w:pPr>
              <w:spacing w:before="68" w:line="188" w:lineRule="auto"/>
              <w:ind w:firstLine="1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各种登记、报表等资料完整。</w:t>
            </w:r>
          </w:p>
        </w:tc>
      </w:tr>
    </w:tbl>
    <w:p>
      <w:pPr>
        <w:rPr>
          <w:rFonts w:ascii="宋体"/>
          <w:sz w:val="21"/>
        </w:rPr>
      </w:pPr>
    </w:p>
    <w:sectPr>
      <w:pgSz w:w="16839" w:h="11906"/>
      <w:pgMar w:top="1012" w:right="1663" w:bottom="0" w:left="17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3F5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2021-03-24T09:21:00Z</dcterms:created>
  <dc:creator>fxzm</dc:creator>
  <cp:lastModifiedBy>Zx.</cp:lastModifiedBy>
  <dcterms:modified xsi:type="dcterms:W3CDTF">2021-12-15T07:01:49Z</dcterms:modified>
  <dc:title>结核病防治工作总结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2021-12-15T15:01:39Z</vt:filetime>
  </property>
  <property fmtid="{D5CDD505-2E9C-101B-9397-08002B2CF9AE}" pid="4" name="KSOProductBuildVer">
    <vt:lpwstr>2052-11.1.0.11115</vt:lpwstr>
  </property>
  <property fmtid="{D5CDD505-2E9C-101B-9397-08002B2CF9AE}" pid="5" name="ICV">
    <vt:lpwstr>7A590871BF5F441CB0B6AAF80F337B11</vt:lpwstr>
  </property>
</Properties>
</file>